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3B0A40" w:rsidRDefault="003B0A40" w:rsidP="003B0A40">
      <w:pPr>
        <w:spacing w:after="0" w:line="480" w:lineRule="auto"/>
        <w:rPr>
          <w:rFonts w:ascii="Times New Roman" w:hAnsi="Times New Roman" w:cs="Times New Roman"/>
          <w:sz w:val="24"/>
          <w:szCs w:val="24"/>
        </w:rPr>
      </w:pPr>
    </w:p>
    <w:p w:rsidR="00D850B1" w:rsidRDefault="003B0A40" w:rsidP="003B0A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Topic Four</w:t>
      </w:r>
    </w:p>
    <w:p w:rsidR="00B24109" w:rsidRDefault="008D6ABE" w:rsidP="003B0A4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3B0A4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3B0A4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EB6C31" w:rsidRPr="006F13AC" w:rsidRDefault="00EB6C31"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EB6C31" w:rsidRDefault="00EB6C31" w:rsidP="00424152">
      <w:pPr>
        <w:spacing w:after="0" w:line="480" w:lineRule="auto"/>
        <w:rPr>
          <w:rFonts w:ascii="Times New Roman" w:hAnsi="Times New Roman" w:cs="Times New Roman"/>
          <w:sz w:val="24"/>
          <w:szCs w:val="24"/>
        </w:rPr>
      </w:pPr>
    </w:p>
    <w:p w:rsidR="0047200C" w:rsidRDefault="003B0A40" w:rsidP="004720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Topic Four </w:t>
      </w:r>
    </w:p>
    <w:p w:rsidR="0047200C" w:rsidRDefault="009C6860" w:rsidP="0047200C">
      <w:pPr>
        <w:spacing w:after="0" w:line="480" w:lineRule="auto"/>
        <w:ind w:firstLine="720"/>
        <w:jc w:val="center"/>
        <w:rPr>
          <w:rFonts w:ascii="Times New Roman" w:hAnsi="Times New Roman" w:cs="Times New Roman"/>
          <w:b/>
          <w:sz w:val="24"/>
          <w:szCs w:val="24"/>
        </w:rPr>
      </w:pPr>
      <w:bookmarkStart w:id="0" w:name="_GoBack"/>
      <w:r w:rsidRPr="009C6860">
        <w:rPr>
          <w:rFonts w:ascii="Times New Roman" w:hAnsi="Times New Roman" w:cs="Times New Roman"/>
          <w:b/>
          <w:sz w:val="24"/>
          <w:szCs w:val="24"/>
        </w:rPr>
        <w:t>Stanford University Organization Chart</w:t>
      </w:r>
      <w:bookmarkEnd w:id="0"/>
      <w:r w:rsidR="0047200C" w:rsidRPr="00A40BE4">
        <w:rPr>
          <w:rFonts w:ascii="Times New Roman" w:hAnsi="Times New Roman" w:cs="Times New Roman"/>
          <w:noProof/>
          <w:sz w:val="24"/>
          <w:szCs w:val="24"/>
        </w:rPr>
        <w:drawing>
          <wp:inline distT="0" distB="0" distL="0" distR="0">
            <wp:extent cx="3949238" cy="7181850"/>
            <wp:effectExtent l="76200" t="76200" r="127635" b="133350"/>
            <wp:docPr id="2" name="Picture 2" descr="C:\Users\Emmie\AppData\Local\Microsoft\Windows\INetCache\Content.Word\Screenshot (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098159" name="Picture 3" descr="C:\Users\Emmie\AppData\Local\Microsoft\Windows\INetCache\Content.Word\Screenshot (247).png"/>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955716" cy="7193630"/>
                    </a:xfrm>
                    <a:prstGeom prst="rect">
                      <a:avLst/>
                    </a:prstGeom>
                    <a:ln w="38100" cap="sq">
                      <a:solidFill>
                        <a:srgbClr val="000000"/>
                      </a:solidFill>
                      <a:miter lim="800000"/>
                    </a:ln>
                    <a:effectLst>
                      <a:outerShdw blurRad="50800" dist="38100" dir="2700000" algn="tl" rotWithShape="0">
                        <a:srgbClr val="000000">
                          <a:alpha val="43000"/>
                        </a:srgbClr>
                      </a:outerShdw>
                    </a:effectLst>
                  </pic:spPr>
                </pic:pic>
              </a:graphicData>
            </a:graphic>
          </wp:inline>
        </w:drawing>
      </w:r>
    </w:p>
    <w:p w:rsidR="0047200C" w:rsidRPr="009C6860" w:rsidRDefault="0047200C" w:rsidP="009C6860">
      <w:pPr>
        <w:spacing w:after="0" w:line="480" w:lineRule="auto"/>
        <w:jc w:val="center"/>
        <w:rPr>
          <w:rFonts w:ascii="Times New Roman" w:hAnsi="Times New Roman" w:cs="Times New Roman"/>
          <w:b/>
          <w:sz w:val="24"/>
          <w:szCs w:val="24"/>
        </w:rPr>
      </w:pP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The line indicates authority from the board of trustee to the president. The board includes a maximum of 38 members who are in charge of formulating policies that guide the operation of the institution. This panel also manages annual budgets and determines investments funds. Furthermore, the board of trustee delegates some roles to the president, who is expected to manage other departments. The president also receives approval from the board to appoint leaders in different sectors of the institution (Lombardi, 2013). </w:t>
      </w:r>
    </w:p>
    <w:p w:rsidR="009C6860" w:rsidRPr="009C6860" w:rsidRDefault="009C6860" w:rsidP="009C6860">
      <w:pPr>
        <w:spacing w:after="0" w:line="480" w:lineRule="auto"/>
        <w:jc w:val="center"/>
        <w:rPr>
          <w:rFonts w:ascii="Times New Roman" w:hAnsi="Times New Roman" w:cs="Times New Roman"/>
          <w:b/>
          <w:sz w:val="24"/>
          <w:szCs w:val="24"/>
        </w:rPr>
      </w:pPr>
      <w:r w:rsidRPr="009C6860">
        <w:rPr>
          <w:rFonts w:ascii="Times New Roman" w:hAnsi="Times New Roman" w:cs="Times New Roman"/>
          <w:b/>
          <w:sz w:val="24"/>
          <w:szCs w:val="24"/>
        </w:rPr>
        <w:t>Staff Position</w:t>
      </w: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I chose the position of a provost in the organization chart. Persis S. Drell is the provost in Stanford University. She is responsible for academic affairs and allocates educational funds. Also, she manages programs concerning research and teaching. The provost also works with other departments to ensure students receive quality education. Therefore, deans from different departments report to her regarding discipline, instruction, and scholarships. </w:t>
      </w:r>
    </w:p>
    <w:p w:rsidR="009C6860" w:rsidRPr="009C6860" w:rsidRDefault="009C6860" w:rsidP="009C6860">
      <w:pPr>
        <w:spacing w:after="0" w:line="480" w:lineRule="auto"/>
        <w:jc w:val="center"/>
        <w:rPr>
          <w:rFonts w:ascii="Times New Roman" w:hAnsi="Times New Roman" w:cs="Times New Roman"/>
          <w:b/>
          <w:sz w:val="24"/>
          <w:szCs w:val="24"/>
        </w:rPr>
      </w:pPr>
      <w:r w:rsidRPr="009C6860">
        <w:rPr>
          <w:rFonts w:ascii="Times New Roman" w:hAnsi="Times New Roman" w:cs="Times New Roman"/>
          <w:b/>
          <w:sz w:val="24"/>
          <w:szCs w:val="24"/>
        </w:rPr>
        <w:t>Implications of the Organization Chart</w:t>
      </w: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The organizational chart enhances communication in the institution since each staff knows where to report complex issues. As a result, this approach helps to minimize </w:t>
      </w:r>
      <w:r w:rsidR="00F466D0" w:rsidRPr="009C6860">
        <w:rPr>
          <w:rFonts w:ascii="Times New Roman" w:hAnsi="Times New Roman" w:cs="Times New Roman"/>
          <w:sz w:val="24"/>
          <w:szCs w:val="24"/>
        </w:rPr>
        <w:t>losses</w:t>
      </w:r>
      <w:r w:rsidRPr="009C6860">
        <w:rPr>
          <w:rFonts w:ascii="Times New Roman" w:hAnsi="Times New Roman" w:cs="Times New Roman"/>
          <w:sz w:val="24"/>
          <w:szCs w:val="24"/>
        </w:rPr>
        <w:t xml:space="preserve"> since challenges are resolved immediately they occur. The structure of the chart also helps to achieve the university's mission. For example, the president ensures that each department makes an effort to provide quality services to students (Lombardi, 2013). Furthermore, this structure can also encourage investment by assigning strict budgets for each department. Consequently, leaders will be challenged to create external partnerships for supplemental funding. Also, this approach will promote research through external collaborations. </w:t>
      </w:r>
    </w:p>
    <w:p w:rsidR="0047200C" w:rsidRDefault="0047200C" w:rsidP="009C6860">
      <w:pPr>
        <w:spacing w:after="0" w:line="480" w:lineRule="auto"/>
        <w:jc w:val="center"/>
        <w:rPr>
          <w:rFonts w:ascii="Times New Roman" w:hAnsi="Times New Roman" w:cs="Times New Roman"/>
          <w:b/>
          <w:sz w:val="24"/>
          <w:szCs w:val="24"/>
        </w:rPr>
      </w:pPr>
    </w:p>
    <w:p w:rsidR="009C6860" w:rsidRPr="009C6860" w:rsidRDefault="0047200C" w:rsidP="009C686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 </w:t>
      </w:r>
      <w:r w:rsidR="009C6860" w:rsidRPr="009C6860">
        <w:rPr>
          <w:rFonts w:ascii="Times New Roman" w:hAnsi="Times New Roman" w:cs="Times New Roman"/>
          <w:b/>
          <w:sz w:val="24"/>
          <w:szCs w:val="24"/>
        </w:rPr>
        <w:t>Successful Dean</w:t>
      </w: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The role of a dean requires a leader who is committed to performing numerous duties and promotes the success of the faculty. One of these successful deans is Prabu David in Michigan State University. David is in charge of the Communication Arts and Sciences department. He demonstrates the character of a strategic thinker in terms of how he manages finances in the department. Funding projects can be challenging, especially in big organizations that require approval from different authorities. However, David manages to acquire funding by collaborating with external research organizations such as the National Cancer Institute. Moreover, this approach enables him to engage students in diverse projects to improve their skills. David also portrays interpersonal communication skills. This character enables him to establish beneficial interaction with other faculty members to ensure they also promote the success of the department (Lombardi, 2013).</w:t>
      </w:r>
    </w:p>
    <w:p w:rsidR="009C6860" w:rsidRPr="009C6860" w:rsidRDefault="009C6860" w:rsidP="009C6860">
      <w:pPr>
        <w:spacing w:after="0" w:line="480" w:lineRule="auto"/>
        <w:jc w:val="center"/>
        <w:rPr>
          <w:rFonts w:ascii="Times New Roman" w:hAnsi="Times New Roman" w:cs="Times New Roman"/>
          <w:b/>
          <w:sz w:val="24"/>
          <w:szCs w:val="24"/>
        </w:rPr>
      </w:pPr>
      <w:r w:rsidRPr="009C6860">
        <w:rPr>
          <w:rFonts w:ascii="Times New Roman" w:hAnsi="Times New Roman" w:cs="Times New Roman"/>
          <w:b/>
          <w:sz w:val="24"/>
          <w:szCs w:val="24"/>
        </w:rPr>
        <w:t>Job Description – Dean School of Environment and Sustainability</w:t>
      </w: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The university invites candidates to apply for the dean position in the school of environment and sustainability. The successful applicant should be experienced in leadership and management. Moreover, this leader is required to have essential interpersonal skills to secure external research funding. The leader is also expected to have knowledge of current and potential environmental issues as well as emerging technologies that aid in promoting sustainability. Furthermore, the institution values the development of student prospective; hence, the leader should be able to collaborate with members in other faculties to develop strategies that will improve learning. The successful candidate for this position will receive an annual salary of $75, 000. </w:t>
      </w:r>
    </w:p>
    <w:p w:rsidR="009C6860" w:rsidRPr="009C6860" w:rsidRDefault="009C6860" w:rsidP="009C6860">
      <w:pPr>
        <w:spacing w:after="0" w:line="480" w:lineRule="auto"/>
        <w:jc w:val="center"/>
        <w:rPr>
          <w:rFonts w:ascii="Times New Roman" w:hAnsi="Times New Roman" w:cs="Times New Roman"/>
          <w:b/>
          <w:sz w:val="24"/>
          <w:szCs w:val="24"/>
        </w:rPr>
      </w:pPr>
      <w:r w:rsidRPr="009C6860">
        <w:rPr>
          <w:rFonts w:ascii="Times New Roman" w:hAnsi="Times New Roman" w:cs="Times New Roman"/>
          <w:b/>
          <w:sz w:val="24"/>
          <w:szCs w:val="24"/>
        </w:rPr>
        <w:t>Fayol's Management Princ</w:t>
      </w:r>
      <w:r>
        <w:rPr>
          <w:rFonts w:ascii="Times New Roman" w:hAnsi="Times New Roman" w:cs="Times New Roman"/>
          <w:b/>
          <w:sz w:val="24"/>
          <w:szCs w:val="24"/>
        </w:rPr>
        <w:t>iple</w:t>
      </w: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lastRenderedPageBreak/>
        <w:t xml:space="preserve">Fayol formulated 14 principles that can be applied in management to promote the organization's success. One of these principles that can be used in a university setting is the division of labor. This approach involves delegating tasks depending on skills. Therefore, different departments would be created in the institution to conduct specific duties. Consequently, this improves productivity since leaders in each department are responsible for creating investments and managing resources (Lombardi, 2013). Moreover, the division of labor in the university can help to minimize conflicts due to a defined line of reporting. As a result, this principle can also promote discipline and improve the reputation of the organization. Furthermore, a positive image can also attract student enrollment. </w:t>
      </w:r>
    </w:p>
    <w:p w:rsidR="009C6860" w:rsidRPr="009C6860" w:rsidRDefault="009C6860" w:rsidP="009C6860">
      <w:pPr>
        <w:spacing w:after="0" w:line="480" w:lineRule="auto"/>
        <w:jc w:val="center"/>
        <w:rPr>
          <w:rFonts w:ascii="Times New Roman" w:hAnsi="Times New Roman" w:cs="Times New Roman"/>
          <w:b/>
          <w:sz w:val="24"/>
          <w:szCs w:val="24"/>
        </w:rPr>
      </w:pPr>
      <w:r w:rsidRPr="009C6860">
        <w:rPr>
          <w:rFonts w:ascii="Times New Roman" w:hAnsi="Times New Roman" w:cs="Times New Roman"/>
          <w:b/>
          <w:sz w:val="24"/>
          <w:szCs w:val="24"/>
        </w:rPr>
        <w:t>Reflection and practice</w:t>
      </w:r>
    </w:p>
    <w:p w:rsidR="009C6860" w:rsidRPr="009C6860" w:rsidRDefault="009C6860" w:rsidP="009C6860">
      <w:pPr>
        <w:spacing w:after="0" w:line="480" w:lineRule="auto"/>
        <w:jc w:val="center"/>
        <w:rPr>
          <w:rFonts w:ascii="Times New Roman" w:hAnsi="Times New Roman" w:cs="Times New Roman"/>
          <w:b/>
          <w:sz w:val="24"/>
          <w:szCs w:val="24"/>
        </w:rPr>
      </w:pPr>
      <w:r w:rsidRPr="009C6860">
        <w:rPr>
          <w:rFonts w:ascii="Times New Roman" w:hAnsi="Times New Roman" w:cs="Times New Roman"/>
          <w:b/>
          <w:sz w:val="24"/>
          <w:szCs w:val="24"/>
        </w:rPr>
        <w:t>University Foundation</w:t>
      </w: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The university foundation aims to encourage investors to help in attaining the university's mission by funding research and other research. The budget also ensures that funds are allocated for necessary activities, including instruction. Also, this will promote management and prevent misuse of funds. Moreover, the foundation will ensure funds are allocated to assist students from less privileged backgrounds (Goldgeier, 2017). </w:t>
      </w:r>
    </w:p>
    <w:p w:rsid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The first category of the institution's expenditure will include paying for academic activities such as library expense, museum, and teaching resources. Second, the funding will cater to insurance, and this will also include safety and protection. Third, the costs will be allocated to award financial aid. Fourth, the funds will pay for administrative services such as human resource services, admission, and information technology. The following chart indicates a specific percentage for each expense: </w:t>
      </w:r>
    </w:p>
    <w:p w:rsidR="0053479A" w:rsidRPr="009C6860" w:rsidRDefault="0053479A" w:rsidP="0053479A">
      <w:pPr>
        <w:spacing w:after="0" w:line="480" w:lineRule="auto"/>
        <w:jc w:val="both"/>
        <w:rPr>
          <w:rFonts w:ascii="Times New Roman" w:hAnsi="Times New Roman" w:cs="Times New Roman"/>
          <w:sz w:val="24"/>
          <w:szCs w:val="24"/>
        </w:rPr>
      </w:pPr>
      <w:r w:rsidRPr="00A40BE4">
        <w:rPr>
          <w:rFonts w:ascii="Times New Roman" w:hAnsi="Times New Roman" w:cs="Times New Roman"/>
          <w:noProof/>
          <w:sz w:val="24"/>
          <w:szCs w:val="24"/>
        </w:rPr>
        <w:lastRenderedPageBreak/>
        <w:drawing>
          <wp:inline distT="0" distB="0" distL="0" distR="0">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C6860" w:rsidRPr="009C6860" w:rsidRDefault="009C6860" w:rsidP="009C6860">
      <w:pPr>
        <w:spacing w:after="0" w:line="480" w:lineRule="auto"/>
        <w:rPr>
          <w:rFonts w:ascii="Times New Roman" w:hAnsi="Times New Roman" w:cs="Times New Roman"/>
          <w:sz w:val="24"/>
          <w:szCs w:val="24"/>
        </w:rPr>
      </w:pPr>
    </w:p>
    <w:p w:rsidR="009C6860" w:rsidRDefault="009C6860" w:rsidP="00D63ACD">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The institution aims to acquire revenue from internal and external sources. Some of these sources include; support from the state, student tuition, supplementary funding, and research grants and gifts. The following chart demonstrates the percentage from each source: </w:t>
      </w:r>
    </w:p>
    <w:p w:rsidR="0053479A" w:rsidRPr="009C6860" w:rsidRDefault="0053479A" w:rsidP="009C6860">
      <w:pPr>
        <w:spacing w:after="0" w:line="480" w:lineRule="auto"/>
        <w:rPr>
          <w:rFonts w:ascii="Times New Roman" w:hAnsi="Times New Roman" w:cs="Times New Roman"/>
          <w:sz w:val="24"/>
          <w:szCs w:val="24"/>
        </w:rPr>
      </w:pPr>
      <w:r w:rsidRPr="00A40BE4">
        <w:rPr>
          <w:rFonts w:ascii="Times New Roman" w:hAnsi="Times New Roman" w:cs="Times New Roman"/>
          <w:noProof/>
          <w:sz w:val="24"/>
          <w:szCs w:val="24"/>
        </w:rPr>
        <w:drawing>
          <wp:inline distT="0" distB="0" distL="0" distR="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C6860" w:rsidRPr="009C6860" w:rsidRDefault="009C6860" w:rsidP="009C6860">
      <w:pPr>
        <w:spacing w:after="0" w:line="480" w:lineRule="auto"/>
        <w:jc w:val="center"/>
        <w:rPr>
          <w:rFonts w:ascii="Times New Roman" w:hAnsi="Times New Roman" w:cs="Times New Roman"/>
          <w:b/>
          <w:sz w:val="24"/>
          <w:szCs w:val="24"/>
        </w:rPr>
      </w:pPr>
      <w:r w:rsidRPr="009C6860">
        <w:rPr>
          <w:rFonts w:ascii="Times New Roman" w:hAnsi="Times New Roman" w:cs="Times New Roman"/>
          <w:b/>
          <w:sz w:val="24"/>
          <w:szCs w:val="24"/>
        </w:rPr>
        <w:t xml:space="preserve">The Robots are </w:t>
      </w:r>
      <w:r w:rsidR="004C785E" w:rsidRPr="009C6860">
        <w:rPr>
          <w:rFonts w:ascii="Times New Roman" w:hAnsi="Times New Roman" w:cs="Times New Roman"/>
          <w:b/>
          <w:sz w:val="24"/>
          <w:szCs w:val="24"/>
        </w:rPr>
        <w:t>coming</w:t>
      </w:r>
      <w:r w:rsidRPr="009C6860">
        <w:rPr>
          <w:rFonts w:ascii="Times New Roman" w:hAnsi="Times New Roman" w:cs="Times New Roman"/>
          <w:b/>
          <w:sz w:val="24"/>
          <w:szCs w:val="24"/>
        </w:rPr>
        <w:t>!</w:t>
      </w: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The sector of technology is ever-growing, and innovations are discovered almost every day. These advancements have created a lot of opportunities for many people across the globe. </w:t>
      </w:r>
      <w:r w:rsidRPr="009C6860">
        <w:rPr>
          <w:rFonts w:ascii="Times New Roman" w:hAnsi="Times New Roman" w:cs="Times New Roman"/>
          <w:sz w:val="24"/>
          <w:szCs w:val="24"/>
        </w:rPr>
        <w:lastRenderedPageBreak/>
        <w:t xml:space="preserve">Nevertheless, these technologies also raise the alarm on whether the future generation is prepared to adapt to these changes. Most of these machines are developed with the concept of artificial intelligence, and this creates questions on whether they will take over jobs that can be performed by humans. Hence, higher education institutions are challenged with the responsibility to ensure these fears do not become a reality. The leading cause of these assumptions is because these machines are learning to perform tasks regarding legal issues, banking, and medicine (Burner, 2017). </w:t>
      </w:r>
    </w:p>
    <w:p w:rsidR="009C6860" w:rsidRPr="009C6860" w:rsidRDefault="009C6860" w:rsidP="009C6860">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This topic challenges university administrators to develop strategies to encourage students to become innovative. Moreover, the management should also explore opportunities to enhance collaboration, interpersonal communication, and teamwork. These skills should be improved to enable graduates to cope with new trends and to create new jobs. Furthermore, education institutions should employ leaders who are knowledgeable and aggressive to attract investors from within and international. These investments will encourage research to empower students to explore their curiosity and learn about new technologies (Kim, 2019). </w:t>
      </w:r>
    </w:p>
    <w:p w:rsidR="009C6860" w:rsidRPr="009C6860" w:rsidRDefault="009C6860" w:rsidP="009C6860">
      <w:pPr>
        <w:spacing w:after="0" w:line="480" w:lineRule="auto"/>
        <w:jc w:val="center"/>
        <w:rPr>
          <w:rFonts w:ascii="Times New Roman" w:hAnsi="Times New Roman" w:cs="Times New Roman"/>
          <w:b/>
          <w:sz w:val="24"/>
          <w:szCs w:val="24"/>
        </w:rPr>
      </w:pPr>
      <w:r w:rsidRPr="009C6860">
        <w:rPr>
          <w:rFonts w:ascii="Times New Roman" w:hAnsi="Times New Roman" w:cs="Times New Roman"/>
          <w:b/>
          <w:sz w:val="24"/>
          <w:szCs w:val="24"/>
        </w:rPr>
        <w:t>Conclusion</w:t>
      </w:r>
    </w:p>
    <w:p w:rsidR="009C6860" w:rsidRPr="009C6860" w:rsidRDefault="009C6860" w:rsidP="004C785E">
      <w:pPr>
        <w:spacing w:after="0" w:line="480" w:lineRule="auto"/>
        <w:ind w:firstLine="720"/>
        <w:rPr>
          <w:rFonts w:ascii="Times New Roman" w:hAnsi="Times New Roman" w:cs="Times New Roman"/>
          <w:sz w:val="24"/>
          <w:szCs w:val="24"/>
        </w:rPr>
      </w:pPr>
      <w:r w:rsidRPr="009C6860">
        <w:rPr>
          <w:rFonts w:ascii="Times New Roman" w:hAnsi="Times New Roman" w:cs="Times New Roman"/>
          <w:sz w:val="24"/>
          <w:szCs w:val="24"/>
        </w:rPr>
        <w:t xml:space="preserve">In conclusion, the university's organizational chart is essential in managing operations in the university. The organization structure indicates lines of authority, and this helps in improving reporting, which helps to control conflicts in the organization. This organization of roles also encourages collaboration and improves decision making. Moreover, leaders in diverse departments should obtain certain characters to help in the success of the institutions. These managers are expected to be good in interpersonal communication and encourage partnership with more interest groups. Moreover, managers should also have strategic skills to predict problems and develop effective solutions. Higher education institutions should also create </w:t>
      </w:r>
      <w:r w:rsidRPr="009C6860">
        <w:rPr>
          <w:rFonts w:ascii="Times New Roman" w:hAnsi="Times New Roman" w:cs="Times New Roman"/>
          <w:sz w:val="24"/>
          <w:szCs w:val="24"/>
        </w:rPr>
        <w:lastRenderedPageBreak/>
        <w:t xml:space="preserve">opportunities that encourage students to understand and develop new innovations. Furthermore, the institution should enroll students from diverse cultures and backgrounds to encourage sharing of ideas. Consequently, effective implementation of these recommendations will improve the contribution of these institutions to society (Kim, 2019). </w:t>
      </w: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9C6860" w:rsidRPr="009C6860" w:rsidRDefault="009C6860" w:rsidP="009C6860">
      <w:pPr>
        <w:spacing w:after="0" w:line="480" w:lineRule="auto"/>
        <w:rPr>
          <w:rFonts w:ascii="Times New Roman" w:hAnsi="Times New Roman" w:cs="Times New Roman"/>
          <w:sz w:val="24"/>
          <w:szCs w:val="24"/>
        </w:rPr>
      </w:pPr>
    </w:p>
    <w:p w:rsidR="00D63ACD" w:rsidRDefault="00D63ACD" w:rsidP="0053479A">
      <w:pPr>
        <w:spacing w:after="0" w:line="480" w:lineRule="auto"/>
        <w:jc w:val="center"/>
        <w:rPr>
          <w:rFonts w:ascii="Times New Roman" w:hAnsi="Times New Roman" w:cs="Times New Roman"/>
          <w:sz w:val="24"/>
          <w:szCs w:val="24"/>
        </w:rPr>
      </w:pPr>
    </w:p>
    <w:p w:rsidR="00D63ACD" w:rsidRDefault="00D63ACD" w:rsidP="0053479A">
      <w:pPr>
        <w:spacing w:after="0" w:line="480" w:lineRule="auto"/>
        <w:jc w:val="center"/>
        <w:rPr>
          <w:rFonts w:ascii="Times New Roman" w:hAnsi="Times New Roman" w:cs="Times New Roman"/>
          <w:sz w:val="24"/>
          <w:szCs w:val="24"/>
        </w:rPr>
      </w:pPr>
    </w:p>
    <w:p w:rsidR="00D63ACD" w:rsidRDefault="00D63ACD" w:rsidP="0053479A">
      <w:pPr>
        <w:spacing w:after="0" w:line="480" w:lineRule="auto"/>
        <w:jc w:val="center"/>
        <w:rPr>
          <w:rFonts w:ascii="Times New Roman" w:hAnsi="Times New Roman" w:cs="Times New Roman"/>
          <w:sz w:val="24"/>
          <w:szCs w:val="24"/>
        </w:rPr>
      </w:pPr>
    </w:p>
    <w:p w:rsidR="00D63ACD" w:rsidRDefault="00D63ACD" w:rsidP="0053479A">
      <w:pPr>
        <w:spacing w:after="0" w:line="480" w:lineRule="auto"/>
        <w:jc w:val="center"/>
        <w:rPr>
          <w:rFonts w:ascii="Times New Roman" w:hAnsi="Times New Roman" w:cs="Times New Roman"/>
          <w:sz w:val="24"/>
          <w:szCs w:val="24"/>
        </w:rPr>
      </w:pPr>
    </w:p>
    <w:p w:rsidR="00D63ACD" w:rsidRDefault="00D63ACD" w:rsidP="0053479A">
      <w:pPr>
        <w:spacing w:after="0" w:line="480" w:lineRule="auto"/>
        <w:jc w:val="center"/>
        <w:rPr>
          <w:rFonts w:ascii="Times New Roman" w:hAnsi="Times New Roman" w:cs="Times New Roman"/>
          <w:sz w:val="24"/>
          <w:szCs w:val="24"/>
        </w:rPr>
      </w:pPr>
    </w:p>
    <w:p w:rsidR="004D4CFF" w:rsidRDefault="004D4CFF" w:rsidP="0053479A">
      <w:pPr>
        <w:spacing w:after="0" w:line="480" w:lineRule="auto"/>
        <w:jc w:val="center"/>
        <w:rPr>
          <w:rFonts w:ascii="Times New Roman" w:hAnsi="Times New Roman" w:cs="Times New Roman"/>
          <w:sz w:val="24"/>
          <w:szCs w:val="24"/>
        </w:rPr>
      </w:pPr>
    </w:p>
    <w:p w:rsidR="004D4CFF" w:rsidRDefault="004D4CFF" w:rsidP="0053479A">
      <w:pPr>
        <w:spacing w:after="0" w:line="480" w:lineRule="auto"/>
        <w:jc w:val="center"/>
        <w:rPr>
          <w:rFonts w:ascii="Times New Roman" w:hAnsi="Times New Roman" w:cs="Times New Roman"/>
          <w:sz w:val="24"/>
          <w:szCs w:val="24"/>
        </w:rPr>
      </w:pPr>
    </w:p>
    <w:p w:rsidR="009C6860" w:rsidRPr="009C6860" w:rsidRDefault="009C6860" w:rsidP="0053479A">
      <w:pPr>
        <w:spacing w:after="0" w:line="480" w:lineRule="auto"/>
        <w:jc w:val="center"/>
        <w:rPr>
          <w:rFonts w:ascii="Times New Roman" w:hAnsi="Times New Roman" w:cs="Times New Roman"/>
          <w:sz w:val="24"/>
          <w:szCs w:val="24"/>
        </w:rPr>
      </w:pPr>
      <w:r w:rsidRPr="009C6860">
        <w:rPr>
          <w:rFonts w:ascii="Times New Roman" w:hAnsi="Times New Roman" w:cs="Times New Roman"/>
          <w:sz w:val="24"/>
          <w:szCs w:val="24"/>
        </w:rPr>
        <w:lastRenderedPageBreak/>
        <w:t>Reference</w:t>
      </w:r>
      <w:r w:rsidR="0085662A">
        <w:rPr>
          <w:rFonts w:ascii="Times New Roman" w:hAnsi="Times New Roman" w:cs="Times New Roman"/>
          <w:sz w:val="24"/>
          <w:szCs w:val="24"/>
        </w:rPr>
        <w:t>s</w:t>
      </w:r>
    </w:p>
    <w:p w:rsidR="009C6860" w:rsidRPr="009C6860" w:rsidRDefault="009C6860" w:rsidP="0053479A">
      <w:pPr>
        <w:spacing w:after="0" w:line="480" w:lineRule="auto"/>
        <w:ind w:left="720" w:hanging="720"/>
        <w:rPr>
          <w:rFonts w:ascii="Times New Roman" w:hAnsi="Times New Roman" w:cs="Times New Roman"/>
          <w:sz w:val="24"/>
          <w:szCs w:val="24"/>
        </w:rPr>
      </w:pPr>
      <w:r w:rsidRPr="009C6860">
        <w:rPr>
          <w:rFonts w:ascii="Times New Roman" w:hAnsi="Times New Roman" w:cs="Times New Roman"/>
          <w:sz w:val="24"/>
          <w:szCs w:val="24"/>
        </w:rPr>
        <w:t xml:space="preserve">Burner, F., R. (2017).The 3 </w:t>
      </w:r>
      <w:r w:rsidR="00F466D0">
        <w:rPr>
          <w:rFonts w:ascii="Times New Roman" w:hAnsi="Times New Roman" w:cs="Times New Roman"/>
          <w:sz w:val="24"/>
          <w:szCs w:val="24"/>
        </w:rPr>
        <w:t xml:space="preserve">qualities that make a good dean. </w:t>
      </w:r>
      <w:r w:rsidRPr="009C6860">
        <w:rPr>
          <w:rFonts w:ascii="Times New Roman" w:hAnsi="Times New Roman" w:cs="Times New Roman"/>
          <w:sz w:val="24"/>
          <w:szCs w:val="24"/>
        </w:rPr>
        <w:t>The Chronicles of Higher Education. Web Accessed on 27. Sep. 2019.</w:t>
      </w:r>
    </w:p>
    <w:p w:rsidR="009C6860" w:rsidRPr="009C6860" w:rsidRDefault="009C6860" w:rsidP="0053479A">
      <w:pPr>
        <w:spacing w:after="0" w:line="480" w:lineRule="auto"/>
        <w:ind w:left="720" w:hanging="720"/>
        <w:rPr>
          <w:rFonts w:ascii="Times New Roman" w:hAnsi="Times New Roman" w:cs="Times New Roman"/>
          <w:sz w:val="24"/>
          <w:szCs w:val="24"/>
        </w:rPr>
      </w:pPr>
      <w:r w:rsidRPr="009C6860">
        <w:rPr>
          <w:rFonts w:ascii="Times New Roman" w:hAnsi="Times New Roman" w:cs="Times New Roman"/>
          <w:sz w:val="24"/>
          <w:szCs w:val="24"/>
        </w:rPr>
        <w:t>Goldgeier, J., Jentleson, B., Darden, J., &amp; Weber, S. (2017). Why universities and foundations should get together sooner. The Chronicles of Higher Education. Web Accessed on 27. Sep. 2019.</w:t>
      </w:r>
    </w:p>
    <w:p w:rsidR="009C6860" w:rsidRPr="009C6860" w:rsidRDefault="009C6860" w:rsidP="0053479A">
      <w:pPr>
        <w:spacing w:after="0" w:line="480" w:lineRule="auto"/>
        <w:ind w:left="720" w:hanging="720"/>
        <w:rPr>
          <w:rFonts w:ascii="Times New Roman" w:hAnsi="Times New Roman" w:cs="Times New Roman"/>
          <w:sz w:val="24"/>
          <w:szCs w:val="24"/>
        </w:rPr>
      </w:pPr>
      <w:r w:rsidRPr="009C6860">
        <w:rPr>
          <w:rFonts w:ascii="Times New Roman" w:hAnsi="Times New Roman" w:cs="Times New Roman"/>
          <w:sz w:val="24"/>
          <w:szCs w:val="24"/>
        </w:rPr>
        <w:t>Hanna, D. E. (2015). Higher education in an era of digital competition: Emerging organizational models. Journal of Asynchronous Learning Networks, 2(1), 66-95.</w:t>
      </w:r>
    </w:p>
    <w:p w:rsidR="009C6860" w:rsidRPr="009C6860" w:rsidRDefault="009C6860" w:rsidP="0053479A">
      <w:pPr>
        <w:spacing w:after="0" w:line="480" w:lineRule="auto"/>
        <w:ind w:left="720" w:hanging="720"/>
        <w:rPr>
          <w:rFonts w:ascii="Times New Roman" w:hAnsi="Times New Roman" w:cs="Times New Roman"/>
          <w:sz w:val="24"/>
          <w:szCs w:val="24"/>
        </w:rPr>
      </w:pPr>
      <w:r w:rsidRPr="009C6860">
        <w:rPr>
          <w:rFonts w:ascii="Times New Roman" w:hAnsi="Times New Roman" w:cs="Times New Roman"/>
          <w:sz w:val="24"/>
          <w:szCs w:val="24"/>
        </w:rPr>
        <w:t xml:space="preserve">Kim, J. (2019). Books on the impact of technology on jobs, and the place of higher ed in this conversation. Inside Higher Ed. Web Accessed on 27. Sep. 2019. </w:t>
      </w:r>
    </w:p>
    <w:p w:rsidR="009C6860" w:rsidRDefault="009C6860" w:rsidP="0053479A">
      <w:pPr>
        <w:spacing w:after="0" w:line="480" w:lineRule="auto"/>
        <w:ind w:left="720" w:hanging="720"/>
        <w:rPr>
          <w:rFonts w:ascii="Times New Roman" w:hAnsi="Times New Roman" w:cs="Times New Roman"/>
          <w:sz w:val="24"/>
          <w:szCs w:val="24"/>
        </w:rPr>
      </w:pPr>
      <w:r w:rsidRPr="009C6860">
        <w:rPr>
          <w:rFonts w:ascii="Times New Roman" w:hAnsi="Times New Roman" w:cs="Times New Roman"/>
          <w:sz w:val="24"/>
          <w:szCs w:val="24"/>
        </w:rPr>
        <w:t>Lombardi, V. (2013). How Universities Work. Baltimore: Johns Hopkins University Press.</w:t>
      </w:r>
    </w:p>
    <w:sectPr w:rsidR="009C6860" w:rsidSect="0043409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7DE" w:rsidRDefault="000437DE">
      <w:pPr>
        <w:spacing w:after="0" w:line="240" w:lineRule="auto"/>
      </w:pPr>
      <w:r>
        <w:separator/>
      </w:r>
    </w:p>
  </w:endnote>
  <w:endnote w:type="continuationSeparator" w:id="1">
    <w:p w:rsidR="000437DE" w:rsidRDefault="000437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7DE" w:rsidRDefault="000437DE">
      <w:pPr>
        <w:spacing w:after="0" w:line="240" w:lineRule="auto"/>
      </w:pPr>
      <w:r>
        <w:separator/>
      </w:r>
    </w:p>
  </w:footnote>
  <w:footnote w:type="continuationSeparator" w:id="1">
    <w:p w:rsidR="000437DE" w:rsidRDefault="000437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3B0A40" w:rsidP="004C785E">
        <w:pPr>
          <w:spacing w:after="0" w:line="480" w:lineRule="auto"/>
        </w:pPr>
        <w:r>
          <w:rPr>
            <w:rFonts w:ascii="Times New Roman" w:hAnsi="Times New Roman" w:cs="Times New Roman"/>
            <w:sz w:val="24"/>
            <w:szCs w:val="24"/>
          </w:rPr>
          <w:t xml:space="preserve">TOPIC FOUR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B6C31">
          <w:rPr>
            <w:rFonts w:ascii="Times New Roman" w:hAnsi="Times New Roman" w:cs="Times New Roman"/>
            <w:sz w:val="24"/>
            <w:szCs w:val="24"/>
          </w:rPr>
          <w:tab/>
        </w:r>
        <w:r w:rsidR="00B34856">
          <w:rPr>
            <w:rFonts w:ascii="Times New Roman" w:hAnsi="Times New Roman" w:cs="Times New Roman"/>
            <w:sz w:val="24"/>
            <w:szCs w:val="24"/>
          </w:rPr>
          <w:tab/>
        </w:r>
        <w:r w:rsidR="00796567">
          <w:rPr>
            <w:rFonts w:ascii="Times New Roman" w:hAnsi="Times New Roman" w:cs="Times New Roman"/>
            <w:sz w:val="24"/>
            <w:szCs w:val="24"/>
          </w:rPr>
          <w:tab/>
        </w:r>
        <w:r w:rsidR="004C785E">
          <w:rPr>
            <w:rFonts w:ascii="Times New Roman" w:hAnsi="Times New Roman" w:cs="Times New Roman"/>
            <w:sz w:val="24"/>
            <w:szCs w:val="24"/>
          </w:rPr>
          <w:t xml:space="preserve">                                             </w:t>
        </w:r>
        <w:r w:rsidR="00AB192D"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AB192D" w:rsidRPr="008269A1">
          <w:rPr>
            <w:rFonts w:ascii="Times New Roman" w:hAnsi="Times New Roman" w:cs="Times New Roman"/>
            <w:sz w:val="24"/>
            <w:szCs w:val="24"/>
          </w:rPr>
          <w:fldChar w:fldCharType="separate"/>
        </w:r>
        <w:r w:rsidR="00F466D0">
          <w:rPr>
            <w:rFonts w:ascii="Times New Roman" w:hAnsi="Times New Roman" w:cs="Times New Roman"/>
            <w:noProof/>
            <w:sz w:val="24"/>
            <w:szCs w:val="24"/>
          </w:rPr>
          <w:t>9</w:t>
        </w:r>
        <w:r w:rsidR="00AB192D" w:rsidRPr="008269A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4C785E" w:rsidP="003B0A40">
    <w:pPr>
      <w:spacing w:after="0" w:line="480" w:lineRule="auto"/>
    </w:pPr>
    <w:r>
      <w:rPr>
        <w:rFonts w:ascii="Times New Roman" w:hAnsi="Times New Roman" w:cs="Times New Roman"/>
        <w:sz w:val="24"/>
        <w:szCs w:val="24"/>
      </w:rPr>
      <w:t xml:space="preserve">Running head: </w:t>
    </w:r>
    <w:r w:rsidR="003B0A40">
      <w:rPr>
        <w:rFonts w:ascii="Times New Roman" w:hAnsi="Times New Roman" w:cs="Times New Roman"/>
        <w:sz w:val="24"/>
        <w:szCs w:val="24"/>
      </w:rPr>
      <w:t xml:space="preserve">TOPIC FOUR </w:t>
    </w:r>
    <w:r w:rsidR="003B0A40">
      <w:rPr>
        <w:rFonts w:ascii="Times New Roman" w:hAnsi="Times New Roman" w:cs="Times New Roman"/>
        <w:sz w:val="24"/>
        <w:szCs w:val="24"/>
      </w:rPr>
      <w:tab/>
    </w:r>
    <w:r w:rsidR="003B0A40">
      <w:rPr>
        <w:rFonts w:ascii="Times New Roman" w:hAnsi="Times New Roman" w:cs="Times New Roman"/>
        <w:sz w:val="24"/>
        <w:szCs w:val="24"/>
      </w:rPr>
      <w:tab/>
    </w:r>
    <w:r w:rsidR="003B0A40">
      <w:rPr>
        <w:rFonts w:ascii="Times New Roman" w:hAnsi="Times New Roman" w:cs="Times New Roman"/>
        <w:sz w:val="24"/>
        <w:szCs w:val="24"/>
      </w:rPr>
      <w:tab/>
    </w:r>
    <w:r w:rsidR="00D850B1">
      <w:rPr>
        <w:rFonts w:ascii="Times New Roman" w:hAnsi="Times New Roman" w:cs="Times New Roman"/>
        <w:sz w:val="24"/>
        <w:szCs w:val="24"/>
      </w:rPr>
      <w:tab/>
    </w:r>
    <w:r w:rsidR="00D850B1">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Pr>
            <w:rFonts w:ascii="Times New Roman" w:hAnsi="Times New Roman" w:cs="Times New Roman"/>
            <w:sz w:val="24"/>
            <w:szCs w:val="24"/>
          </w:rPr>
          <w:t xml:space="preserve">                    </w:t>
        </w:r>
        <w:r w:rsidR="00AB192D" w:rsidRPr="00434097">
          <w:rPr>
            <w:rFonts w:ascii="Times New Roman" w:hAnsi="Times New Roman" w:cs="Times New Roman"/>
            <w:sz w:val="24"/>
            <w:szCs w:val="24"/>
          </w:rPr>
          <w:fldChar w:fldCharType="begin"/>
        </w:r>
        <w:r w:rsidR="008D6ABE" w:rsidRPr="00434097">
          <w:rPr>
            <w:rFonts w:ascii="Times New Roman" w:hAnsi="Times New Roman" w:cs="Times New Roman"/>
            <w:sz w:val="24"/>
            <w:szCs w:val="24"/>
          </w:rPr>
          <w:instrText xml:space="preserve"> PAGE   \* MERGEFORMAT </w:instrText>
        </w:r>
        <w:r w:rsidR="00AB192D" w:rsidRPr="00434097">
          <w:rPr>
            <w:rFonts w:ascii="Times New Roman" w:hAnsi="Times New Roman" w:cs="Times New Roman"/>
            <w:sz w:val="24"/>
            <w:szCs w:val="24"/>
          </w:rPr>
          <w:fldChar w:fldCharType="separate"/>
        </w:r>
        <w:r w:rsidR="00F466D0">
          <w:rPr>
            <w:rFonts w:ascii="Times New Roman" w:hAnsi="Times New Roman" w:cs="Times New Roman"/>
            <w:noProof/>
            <w:sz w:val="24"/>
            <w:szCs w:val="24"/>
          </w:rPr>
          <w:t>1</w:t>
        </w:r>
        <w:r w:rsidR="00AB192D"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41410"/>
    <w:rsid w:val="000437DE"/>
    <w:rsid w:val="000511F0"/>
    <w:rsid w:val="0005232D"/>
    <w:rsid w:val="00052365"/>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2732"/>
    <w:rsid w:val="0018664C"/>
    <w:rsid w:val="00187147"/>
    <w:rsid w:val="00193F26"/>
    <w:rsid w:val="00196D51"/>
    <w:rsid w:val="001A1905"/>
    <w:rsid w:val="001A3D9E"/>
    <w:rsid w:val="001B487C"/>
    <w:rsid w:val="001B7667"/>
    <w:rsid w:val="001C4454"/>
    <w:rsid w:val="001C47E0"/>
    <w:rsid w:val="001D044D"/>
    <w:rsid w:val="001D5F14"/>
    <w:rsid w:val="001D771E"/>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C7DD8"/>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0A40"/>
    <w:rsid w:val="003B15A8"/>
    <w:rsid w:val="003B7BC3"/>
    <w:rsid w:val="003B7ECA"/>
    <w:rsid w:val="003C1F86"/>
    <w:rsid w:val="003C207C"/>
    <w:rsid w:val="003C29B8"/>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200C"/>
    <w:rsid w:val="00473830"/>
    <w:rsid w:val="00475CC3"/>
    <w:rsid w:val="00484AA0"/>
    <w:rsid w:val="00492E7C"/>
    <w:rsid w:val="00492ED6"/>
    <w:rsid w:val="00493306"/>
    <w:rsid w:val="00496499"/>
    <w:rsid w:val="00497A63"/>
    <w:rsid w:val="004A1E0A"/>
    <w:rsid w:val="004A2631"/>
    <w:rsid w:val="004B0A35"/>
    <w:rsid w:val="004B3F8C"/>
    <w:rsid w:val="004C03BC"/>
    <w:rsid w:val="004C611B"/>
    <w:rsid w:val="004C785E"/>
    <w:rsid w:val="004C7955"/>
    <w:rsid w:val="004D0960"/>
    <w:rsid w:val="004D4CFF"/>
    <w:rsid w:val="004E1B0F"/>
    <w:rsid w:val="004E63BF"/>
    <w:rsid w:val="004F02F4"/>
    <w:rsid w:val="004F2B49"/>
    <w:rsid w:val="004F4BB7"/>
    <w:rsid w:val="004F6F65"/>
    <w:rsid w:val="00500309"/>
    <w:rsid w:val="00501E19"/>
    <w:rsid w:val="0050301A"/>
    <w:rsid w:val="00511C40"/>
    <w:rsid w:val="00514880"/>
    <w:rsid w:val="00521599"/>
    <w:rsid w:val="00530B19"/>
    <w:rsid w:val="0053479A"/>
    <w:rsid w:val="0053705B"/>
    <w:rsid w:val="00541FB4"/>
    <w:rsid w:val="0054304C"/>
    <w:rsid w:val="005523FA"/>
    <w:rsid w:val="005531FA"/>
    <w:rsid w:val="005552F7"/>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CB9"/>
    <w:rsid w:val="007B4AC6"/>
    <w:rsid w:val="007C0961"/>
    <w:rsid w:val="007C5BE0"/>
    <w:rsid w:val="007D089A"/>
    <w:rsid w:val="007D2C4A"/>
    <w:rsid w:val="007D4CB5"/>
    <w:rsid w:val="007D793D"/>
    <w:rsid w:val="007E58CA"/>
    <w:rsid w:val="007F0DD6"/>
    <w:rsid w:val="007F236C"/>
    <w:rsid w:val="007F2A90"/>
    <w:rsid w:val="007F5429"/>
    <w:rsid w:val="008005BA"/>
    <w:rsid w:val="008037DA"/>
    <w:rsid w:val="00812691"/>
    <w:rsid w:val="00814C59"/>
    <w:rsid w:val="0082211E"/>
    <w:rsid w:val="008269A1"/>
    <w:rsid w:val="00834D9B"/>
    <w:rsid w:val="00835F9B"/>
    <w:rsid w:val="0084296B"/>
    <w:rsid w:val="00843BA8"/>
    <w:rsid w:val="00844393"/>
    <w:rsid w:val="00846569"/>
    <w:rsid w:val="0085662A"/>
    <w:rsid w:val="00862F3F"/>
    <w:rsid w:val="00863F81"/>
    <w:rsid w:val="008643F8"/>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D7C14"/>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67B50"/>
    <w:rsid w:val="00973E24"/>
    <w:rsid w:val="00976477"/>
    <w:rsid w:val="0098006A"/>
    <w:rsid w:val="00982619"/>
    <w:rsid w:val="009A2E53"/>
    <w:rsid w:val="009B2E28"/>
    <w:rsid w:val="009B3A7D"/>
    <w:rsid w:val="009B40F2"/>
    <w:rsid w:val="009C6860"/>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879CE"/>
    <w:rsid w:val="00A90441"/>
    <w:rsid w:val="00A90928"/>
    <w:rsid w:val="00A9785E"/>
    <w:rsid w:val="00AB192D"/>
    <w:rsid w:val="00AB1CCE"/>
    <w:rsid w:val="00AB61B7"/>
    <w:rsid w:val="00AC30CF"/>
    <w:rsid w:val="00AC4D5F"/>
    <w:rsid w:val="00AC53C8"/>
    <w:rsid w:val="00AC7845"/>
    <w:rsid w:val="00AE22BF"/>
    <w:rsid w:val="00AF0253"/>
    <w:rsid w:val="00AF1CA2"/>
    <w:rsid w:val="00B100C8"/>
    <w:rsid w:val="00B10A05"/>
    <w:rsid w:val="00B12735"/>
    <w:rsid w:val="00B12B0A"/>
    <w:rsid w:val="00B17C64"/>
    <w:rsid w:val="00B20964"/>
    <w:rsid w:val="00B23366"/>
    <w:rsid w:val="00B23F1D"/>
    <w:rsid w:val="00B24109"/>
    <w:rsid w:val="00B34856"/>
    <w:rsid w:val="00B35481"/>
    <w:rsid w:val="00B45387"/>
    <w:rsid w:val="00B455BA"/>
    <w:rsid w:val="00B4561C"/>
    <w:rsid w:val="00B53DB2"/>
    <w:rsid w:val="00B570A9"/>
    <w:rsid w:val="00B65822"/>
    <w:rsid w:val="00B7167D"/>
    <w:rsid w:val="00B727E1"/>
    <w:rsid w:val="00B75641"/>
    <w:rsid w:val="00B83B5F"/>
    <w:rsid w:val="00B83EC3"/>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16F0"/>
    <w:rsid w:val="00CD3DB4"/>
    <w:rsid w:val="00CD7578"/>
    <w:rsid w:val="00CE1CCC"/>
    <w:rsid w:val="00CE1D6B"/>
    <w:rsid w:val="00CE253D"/>
    <w:rsid w:val="00CE5D47"/>
    <w:rsid w:val="00CF0A15"/>
    <w:rsid w:val="00CF0B10"/>
    <w:rsid w:val="00CF4B4F"/>
    <w:rsid w:val="00D042DE"/>
    <w:rsid w:val="00D2254D"/>
    <w:rsid w:val="00D24176"/>
    <w:rsid w:val="00D254F7"/>
    <w:rsid w:val="00D25DBD"/>
    <w:rsid w:val="00D30A64"/>
    <w:rsid w:val="00D4027F"/>
    <w:rsid w:val="00D475E3"/>
    <w:rsid w:val="00D51E08"/>
    <w:rsid w:val="00D55C81"/>
    <w:rsid w:val="00D56950"/>
    <w:rsid w:val="00D6075B"/>
    <w:rsid w:val="00D60DC9"/>
    <w:rsid w:val="00D611D6"/>
    <w:rsid w:val="00D63ACD"/>
    <w:rsid w:val="00D70A02"/>
    <w:rsid w:val="00D7351B"/>
    <w:rsid w:val="00D73CC9"/>
    <w:rsid w:val="00D748C6"/>
    <w:rsid w:val="00D813E0"/>
    <w:rsid w:val="00D82933"/>
    <w:rsid w:val="00D840F2"/>
    <w:rsid w:val="00D850B1"/>
    <w:rsid w:val="00D85BD2"/>
    <w:rsid w:val="00D86140"/>
    <w:rsid w:val="00D8696A"/>
    <w:rsid w:val="00D96C78"/>
    <w:rsid w:val="00DA3687"/>
    <w:rsid w:val="00DB16D7"/>
    <w:rsid w:val="00DB31C2"/>
    <w:rsid w:val="00DC2674"/>
    <w:rsid w:val="00DD0582"/>
    <w:rsid w:val="00DD37CD"/>
    <w:rsid w:val="00DD4CDC"/>
    <w:rsid w:val="00DE2B6C"/>
    <w:rsid w:val="00DF252D"/>
    <w:rsid w:val="00E012D8"/>
    <w:rsid w:val="00E108AC"/>
    <w:rsid w:val="00E15540"/>
    <w:rsid w:val="00E24553"/>
    <w:rsid w:val="00E32D82"/>
    <w:rsid w:val="00E33ABC"/>
    <w:rsid w:val="00E35224"/>
    <w:rsid w:val="00E459E5"/>
    <w:rsid w:val="00E55E06"/>
    <w:rsid w:val="00E575E4"/>
    <w:rsid w:val="00E605E1"/>
    <w:rsid w:val="00E615C4"/>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A4413"/>
    <w:rsid w:val="00EB6C31"/>
    <w:rsid w:val="00EC6100"/>
    <w:rsid w:val="00EC6A7E"/>
    <w:rsid w:val="00EC7577"/>
    <w:rsid w:val="00EE78CC"/>
    <w:rsid w:val="00EF6373"/>
    <w:rsid w:val="00F10A4B"/>
    <w:rsid w:val="00F10EBE"/>
    <w:rsid w:val="00F1369B"/>
    <w:rsid w:val="00F14756"/>
    <w:rsid w:val="00F16BAF"/>
    <w:rsid w:val="00F2001D"/>
    <w:rsid w:val="00F22D3A"/>
    <w:rsid w:val="00F233DD"/>
    <w:rsid w:val="00F30FC0"/>
    <w:rsid w:val="00F318FF"/>
    <w:rsid w:val="00F345EC"/>
    <w:rsid w:val="00F37D4A"/>
    <w:rsid w:val="00F42243"/>
    <w:rsid w:val="00F46213"/>
    <w:rsid w:val="00F466D0"/>
    <w:rsid w:val="00F47226"/>
    <w:rsid w:val="00F503A7"/>
    <w:rsid w:val="00F55CEA"/>
    <w:rsid w:val="00F55F98"/>
    <w:rsid w:val="00F61A2F"/>
    <w:rsid w:val="00F70D60"/>
    <w:rsid w:val="00F71150"/>
    <w:rsid w:val="00F74A50"/>
    <w:rsid w:val="00F7509E"/>
    <w:rsid w:val="00F755DA"/>
    <w:rsid w:val="00F835E6"/>
    <w:rsid w:val="00FA1806"/>
    <w:rsid w:val="00FA424C"/>
    <w:rsid w:val="00FB0EC1"/>
    <w:rsid w:val="00FB436C"/>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mmie\Documents\fund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mmie\Documents\fund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latin typeface="Tahoma" panose="020B0604030504040204" pitchFamily="34" charset="0"/>
                <a:ea typeface="Tahoma" panose="020B0604030504040204" pitchFamily="34" charset="0"/>
                <a:cs typeface="Tahoma" panose="020B0604030504040204" pitchFamily="34" charset="0"/>
              </a:rPr>
              <a:t>University Expenditure </a:t>
            </a:r>
          </a:p>
        </c:rich>
      </c:tx>
    </c:title>
    <c:plotArea>
      <c:layout/>
      <c:pieChart>
        <c:varyColors val="1"/>
        <c:ser>
          <c:idx val="0"/>
          <c:order val="0"/>
          <c:dLbls>
            <c:dLbl>
              <c:idx val="0"/>
              <c:layout>
                <c:manualLayout>
                  <c:x val="0.10990376202974639"/>
                  <c:y val="5.7151501895596417E-2"/>
                </c:manualLayout>
              </c:layout>
              <c:showCatName val="1"/>
              <c:showPercent val="1"/>
            </c:dLbl>
            <c:dLbl>
              <c:idx val="1"/>
              <c:layout>
                <c:manualLayout>
                  <c:x val="-7.9341644794400701E-2"/>
                  <c:y val="7.9064596092155173E-2"/>
                </c:manualLayout>
              </c:layout>
              <c:showCatName val="1"/>
              <c:showPercent val="1"/>
            </c:dLbl>
            <c:dLbl>
              <c:idx val="2"/>
              <c:layout>
                <c:manualLayout>
                  <c:x val="-6.2623468941382321E-2"/>
                  <c:y val="6.328557888597254E-2"/>
                </c:manualLayout>
              </c:layout>
              <c:showCatName val="1"/>
              <c:showPercent val="1"/>
            </c:dLbl>
            <c:dLbl>
              <c:idx val="3"/>
              <c:layout>
                <c:manualLayout>
                  <c:x val="-0.19338921697287839"/>
                  <c:y val="4.5233668708078156E-2"/>
                </c:manualLayout>
              </c:layout>
              <c:showCatName val="1"/>
              <c:showPercent val="1"/>
            </c:dLbl>
            <c:txPr>
              <a:bodyPr/>
              <a:lstStyle/>
              <a:p>
                <a:pPr>
                  <a:defRPr sz="1100">
                    <a:latin typeface="Times New Roman" panose="02020603050405020304" pitchFamily="18" charset="0"/>
                    <a:cs typeface="Times New Roman" panose="02020603050405020304" pitchFamily="18" charset="0"/>
                  </a:defRPr>
                </a:pPr>
                <a:endParaRPr lang="en-US"/>
              </a:p>
            </c:txPr>
            <c:showCatName val="1"/>
            <c:showPercent val="1"/>
          </c:dLbls>
          <c:cat>
            <c:strRef>
              <c:f>Sheet1!$D$10:$D$13</c:f>
              <c:strCache>
                <c:ptCount val="4"/>
                <c:pt idx="0">
                  <c:v>Academic Activities </c:v>
                </c:pt>
                <c:pt idx="1">
                  <c:v>Insurance </c:v>
                </c:pt>
                <c:pt idx="2">
                  <c:v>Financial Aid</c:v>
                </c:pt>
                <c:pt idx="3">
                  <c:v>Administrative Services</c:v>
                </c:pt>
              </c:strCache>
            </c:strRef>
          </c:cat>
          <c:val>
            <c:numRef>
              <c:f>Sheet1!$E$10:$E$13</c:f>
              <c:numCache>
                <c:formatCode>0%</c:formatCode>
                <c:ptCount val="4"/>
                <c:pt idx="0">
                  <c:v>0.67000000000000071</c:v>
                </c:pt>
                <c:pt idx="1">
                  <c:v>0.1</c:v>
                </c:pt>
                <c:pt idx="2">
                  <c:v>9.0000000000000024E-2</c:v>
                </c:pt>
                <c:pt idx="3">
                  <c:v>0.14000000000000001</c:v>
                </c:pt>
              </c:numCache>
            </c:numRef>
          </c:val>
        </c:ser>
        <c:ser>
          <c:idx val="1"/>
          <c:order val="1"/>
          <c:dLbls>
            <c:showCatName val="1"/>
            <c:showPercent val="1"/>
          </c:dLbls>
          <c:cat>
            <c:strRef>
              <c:f>Sheet1!$D$10:$D$13</c:f>
              <c:strCache>
                <c:ptCount val="4"/>
                <c:pt idx="0">
                  <c:v>Academic Activities </c:v>
                </c:pt>
                <c:pt idx="1">
                  <c:v>Insurance </c:v>
                </c:pt>
                <c:pt idx="2">
                  <c:v>Financial Aid</c:v>
                </c:pt>
                <c:pt idx="3">
                  <c:v>Administrative Services</c:v>
                </c:pt>
              </c:strCache>
            </c:strRef>
          </c:cat>
          <c:val>
            <c:numRef>
              <c:f>Sheet1!$F$10:$F$13</c:f>
              <c:numCache>
                <c:formatCode>General</c:formatCode>
                <c:ptCount val="4"/>
              </c:numCache>
            </c:numRef>
          </c:val>
        </c:ser>
        <c:dLbls>
          <c:showCatName val="1"/>
          <c:showPercent val="1"/>
        </c:dLbls>
        <c:firstSliceAng val="0"/>
      </c:pieChart>
    </c:plotArea>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latin typeface="Tahoma" panose="020B0604030504040204" pitchFamily="34" charset="0"/>
                <a:ea typeface="Tahoma" panose="020B0604030504040204" pitchFamily="34" charset="0"/>
                <a:cs typeface="Tahoma" panose="020B0604030504040204" pitchFamily="34" charset="0"/>
              </a:rPr>
              <a:t>University Revenue</a:t>
            </a:r>
          </a:p>
        </c:rich>
      </c:tx>
    </c:title>
    <c:plotArea>
      <c:layout>
        <c:manualLayout>
          <c:layoutTarget val="inner"/>
          <c:xMode val="edge"/>
          <c:yMode val="edge"/>
          <c:x val="0.31125437445319326"/>
          <c:y val="0.27564377369495507"/>
          <c:w val="0.40526924759405081"/>
          <c:h val="0.67544874599008464"/>
        </c:manualLayout>
      </c:layout>
      <c:pieChart>
        <c:varyColors val="1"/>
        <c:ser>
          <c:idx val="0"/>
          <c:order val="0"/>
          <c:dLbls>
            <c:dLbl>
              <c:idx val="0"/>
              <c:layout>
                <c:manualLayout>
                  <c:x val="0.13344925634295729"/>
                  <c:y val="5.3335156022163897E-2"/>
                </c:manualLayout>
              </c:layout>
              <c:showCatName val="1"/>
              <c:showPercent val="1"/>
            </c:dLbl>
            <c:dLbl>
              <c:idx val="1"/>
              <c:layout>
                <c:manualLayout>
                  <c:x val="9.0547025371828738E-2"/>
                  <c:y val="0.18575240594925641"/>
                </c:manualLayout>
              </c:layout>
              <c:showCatName val="1"/>
              <c:showPercent val="1"/>
            </c:dLbl>
            <c:dLbl>
              <c:idx val="2"/>
              <c:layout>
                <c:manualLayout>
                  <c:x val="-0.23629024496937895"/>
                  <c:y val="-8.379629629629648E-2"/>
                </c:manualLayout>
              </c:layout>
              <c:showCatName val="1"/>
              <c:showPercent val="1"/>
            </c:dLbl>
            <c:txPr>
              <a:bodyPr/>
              <a:lstStyle/>
              <a:p>
                <a:pPr>
                  <a:defRPr sz="1200">
                    <a:latin typeface="Times New Roman" panose="02020603050405020304" pitchFamily="18" charset="0"/>
                    <a:ea typeface="Tahoma" panose="020B0604030504040204" pitchFamily="34" charset="0"/>
                    <a:cs typeface="Times New Roman" panose="02020603050405020304" pitchFamily="18" charset="0"/>
                  </a:defRPr>
                </a:pPr>
                <a:endParaRPr lang="en-US"/>
              </a:p>
            </c:txPr>
            <c:showCatName val="1"/>
            <c:showPercent val="1"/>
            <c:showLeaderLines val="1"/>
          </c:dLbls>
          <c:cat>
            <c:strRef>
              <c:f>Sheet1!$D$3:$D$6</c:f>
              <c:strCache>
                <c:ptCount val="4"/>
                <c:pt idx="0">
                  <c:v>State Funding</c:v>
                </c:pt>
                <c:pt idx="1">
                  <c:v>Student Tuition </c:v>
                </c:pt>
                <c:pt idx="2">
                  <c:v>Supplementary Funding </c:v>
                </c:pt>
                <c:pt idx="3">
                  <c:v>Research Grants and Gifts</c:v>
                </c:pt>
              </c:strCache>
            </c:strRef>
          </c:cat>
          <c:val>
            <c:numRef>
              <c:f>Sheet1!$E$3:$E$6</c:f>
              <c:numCache>
                <c:formatCode>0%</c:formatCode>
                <c:ptCount val="4"/>
                <c:pt idx="0">
                  <c:v>9.0000000000000024E-2</c:v>
                </c:pt>
                <c:pt idx="1">
                  <c:v>0.15000000000000011</c:v>
                </c:pt>
                <c:pt idx="2">
                  <c:v>0.58000000000000007</c:v>
                </c:pt>
                <c:pt idx="3">
                  <c:v>0.1800000000000001</c:v>
                </c:pt>
              </c:numCache>
            </c:numRef>
          </c:val>
        </c:ser>
        <c:dLbls>
          <c:showCatName val="1"/>
          <c:showPercent val="1"/>
        </c:dLbls>
        <c:firstSliceAng val="0"/>
      </c:pieChart>
    </c:plotArea>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2019-09-26T23:23:00Z</dcterms:created>
  <dcterms:modified xsi:type="dcterms:W3CDTF">2019-09-26T23:23:00Z</dcterms:modified>
</cp:coreProperties>
</file>